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7E" w:rsidRDefault="002547FB" w:rsidP="00C07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Отчет  по информатизации школы за  2012-2013 учебный год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Основная идея современного, гуманистически ориентированного локального образовательного пространства, отвечающего требованиям государства, социума и личности – это многообразие и интеграция образовательных программ в единое целое. Целью при этом является создание условий для всех и для каждого, разных по способностям, наклонностям, интересам школьников: развития их способностей, обеспечения каждому условий для саморазвития, формирования внутренней мотивации деятельности, развития системы ценностей, которые являются основой становления личности.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Эта идеология в полной мере соответствует приоритетному направлению государственной политики в сфере образования – создание равных стартовых возможностей получения общего образования, что позволяет снизить социальную дифференциацию общества, способствовать социальной, территориальной, образовательной мобильности граждан.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реализации задач, стоящих перед современным образованием, нужны не только существенные изменения в содержании и формах, но также и наиболее передовые технологии и средствах обучения. Для достижения этой цели необходимо использование инновационных педагогических технологий, в том числе информационных и коммуникационных технологий.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2012-2013 учебном году коллектив  школы приступил к реализации программы информатизации учебно-воспитательного процесса 2012-201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именно выполнялся первый этап.  Информатизация  образовательного учреждения –  долговременная стратегическая задача,  являющаяся структурной частью и  инструментом общей программы развития  школы.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данном этапе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работа осуществлялась по решению следующих задач программы: </w:t>
      </w:r>
    </w:p>
    <w:p w:rsidR="002547FB" w:rsidRPr="00C07C7E" w:rsidRDefault="002547FB" w:rsidP="00C07C7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учителей компьютерной грамотности; </w:t>
      </w:r>
    </w:p>
    <w:p w:rsidR="002547FB" w:rsidRPr="002547FB" w:rsidRDefault="002547FB" w:rsidP="00254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Оснащение школы средствами ИКТ, компьютерной техникой;</w:t>
      </w:r>
    </w:p>
    <w:p w:rsidR="002547FB" w:rsidRPr="002547FB" w:rsidRDefault="002547FB" w:rsidP="00254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Установка и отладка  работы локальной сети; </w:t>
      </w:r>
    </w:p>
    <w:p w:rsidR="002547FB" w:rsidRPr="002547FB" w:rsidRDefault="002547FB" w:rsidP="00254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Модернизация сайта МОАУ «Подольская СОШ»</w:t>
      </w:r>
    </w:p>
    <w:p w:rsidR="002547FB" w:rsidRPr="002547FB" w:rsidRDefault="002547FB" w:rsidP="00254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системы электронный дневник (журнал)</w:t>
      </w:r>
    </w:p>
    <w:p w:rsidR="002547FB" w:rsidRPr="002547FB" w:rsidRDefault="002547FB" w:rsidP="00254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Дистанционное  обучение </w:t>
      </w:r>
    </w:p>
    <w:p w:rsidR="002547FB" w:rsidRPr="002547FB" w:rsidRDefault="002547FB" w:rsidP="00254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Продолжение внедрение и распространение ОС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Linux</w:t>
      </w:r>
      <w:proofErr w:type="spellEnd"/>
    </w:p>
    <w:p w:rsidR="002547FB" w:rsidRPr="002547FB" w:rsidRDefault="002547FB" w:rsidP="0025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Работая над поставленными задачами по информатизации учебно-воспитательного процесса школы в 2012 - 2013 учебном году, можно отметить следующее: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47FB" w:rsidRPr="002547FB" w:rsidRDefault="002547FB" w:rsidP="00C07C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Обучение учителей компьютерной грамотности</w:t>
      </w:r>
    </w:p>
    <w:p w:rsidR="002547FB" w:rsidRPr="002547FB" w:rsidRDefault="002547FB" w:rsidP="0025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анализируемом - 2012-2013 – учебном году было проведено анкетирование педагогов «Навыки по использованию современных средств обучения». Анкета была создана в программе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Excel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 роздана каждого учителя-предметника. Вопросы анкеты касались профессиональной деятельности учителя: знание современных образовательных технологий.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Выбор ответа ограничивался 4 вариантами: Успешно решаю сам, могу поделиться опытом, Могу решить сам, Необходима помощь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процессе анализа итоги подводились отдельно по ШМО)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Таблица 1.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13"/>
        <w:gridCol w:w="1279"/>
        <w:gridCol w:w="1471"/>
        <w:gridCol w:w="1065"/>
        <w:gridCol w:w="1547"/>
      </w:tblGrid>
      <w:tr w:rsidR="002547FB" w:rsidRPr="002547FB" w:rsidTr="00C07C7E">
        <w:trPr>
          <w:trHeight w:val="690"/>
          <w:tblCellSpacing w:w="0" w:type="dxa"/>
        </w:trPr>
        <w:tc>
          <w:tcPr>
            <w:tcW w:w="403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Параметры деятельности учителя</w:t>
            </w: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Успешно </w:t>
            </w: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решаю сам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Могу поделиться опытом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Могу </w:t>
            </w: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решить сам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2547FB" w:rsidRPr="002547FB" w:rsidRDefault="002547FB" w:rsidP="002547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Необходима помощь</w:t>
            </w:r>
          </w:p>
        </w:tc>
      </w:tr>
      <w:tr w:rsidR="002547FB" w:rsidRPr="002547FB" w:rsidTr="00C07C7E">
        <w:trPr>
          <w:trHeight w:val="180"/>
          <w:tblCellSpacing w:w="0" w:type="dxa"/>
        </w:trPr>
        <w:tc>
          <w:tcPr>
            <w:tcW w:w="403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учебных презентаций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76%</w:t>
            </w:r>
          </w:p>
        </w:tc>
        <w:tc>
          <w:tcPr>
            <w:tcW w:w="93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14%</w:t>
            </w:r>
          </w:p>
        </w:tc>
      </w:tr>
      <w:tr w:rsidR="002547FB" w:rsidRPr="002547FB" w:rsidTr="00C07C7E">
        <w:trPr>
          <w:tblCellSpacing w:w="0" w:type="dxa"/>
        </w:trPr>
        <w:tc>
          <w:tcPr>
            <w:tcW w:w="403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ЦОР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46%</w:t>
            </w:r>
          </w:p>
        </w:tc>
        <w:tc>
          <w:tcPr>
            <w:tcW w:w="93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8%</w:t>
            </w:r>
          </w:p>
        </w:tc>
      </w:tr>
      <w:tr w:rsidR="002547FB" w:rsidRPr="002547FB" w:rsidTr="00C07C7E">
        <w:trPr>
          <w:tblCellSpacing w:w="0" w:type="dxa"/>
        </w:trPr>
        <w:tc>
          <w:tcPr>
            <w:tcW w:w="403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мультимедийным проектором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28%</w:t>
            </w:r>
          </w:p>
        </w:tc>
        <w:tc>
          <w:tcPr>
            <w:tcW w:w="93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18%</w:t>
            </w:r>
          </w:p>
        </w:tc>
      </w:tr>
      <w:tr w:rsidR="002547FB" w:rsidRPr="002547FB" w:rsidTr="00C07C7E">
        <w:trPr>
          <w:tblCellSpacing w:w="0" w:type="dxa"/>
        </w:trPr>
        <w:tc>
          <w:tcPr>
            <w:tcW w:w="403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с </w:t>
            </w:r>
            <w:proofErr w:type="gramStart"/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</w:t>
            </w:r>
            <w:proofErr w:type="gramEnd"/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28%</w:t>
            </w:r>
          </w:p>
        </w:tc>
        <w:tc>
          <w:tcPr>
            <w:tcW w:w="93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64%</w:t>
            </w:r>
          </w:p>
        </w:tc>
      </w:tr>
      <w:tr w:rsidR="002547FB" w:rsidRPr="002547FB" w:rsidTr="00C07C7E">
        <w:trPr>
          <w:tblCellSpacing w:w="0" w:type="dxa"/>
        </w:trPr>
        <w:tc>
          <w:tcPr>
            <w:tcW w:w="403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документ - камерой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52%</w:t>
            </w:r>
          </w:p>
        </w:tc>
        <w:tc>
          <w:tcPr>
            <w:tcW w:w="93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8%</w:t>
            </w:r>
          </w:p>
        </w:tc>
      </w:tr>
      <w:tr w:rsidR="002547FB" w:rsidRPr="002547FB" w:rsidTr="00C07C7E">
        <w:trPr>
          <w:tblCellSpacing w:w="0" w:type="dxa"/>
        </w:trPr>
        <w:tc>
          <w:tcPr>
            <w:tcW w:w="403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в Интернет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52%</w:t>
            </w:r>
          </w:p>
        </w:tc>
        <w:tc>
          <w:tcPr>
            <w:tcW w:w="93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14%</w:t>
            </w:r>
          </w:p>
        </w:tc>
      </w:tr>
      <w:tr w:rsidR="002547FB" w:rsidRPr="002547FB" w:rsidTr="00C07C7E">
        <w:trPr>
          <w:trHeight w:val="15"/>
          <w:tblCellSpacing w:w="0" w:type="dxa"/>
        </w:trPr>
        <w:tc>
          <w:tcPr>
            <w:tcW w:w="403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Обновление сайта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28%</w:t>
            </w:r>
          </w:p>
        </w:tc>
        <w:tc>
          <w:tcPr>
            <w:tcW w:w="93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64%</w:t>
            </w:r>
          </w:p>
        </w:tc>
      </w:tr>
      <w:tr w:rsidR="002547FB" w:rsidRPr="002547FB" w:rsidTr="00C07C7E">
        <w:trPr>
          <w:trHeight w:val="15"/>
          <w:tblCellSpacing w:w="0" w:type="dxa"/>
        </w:trPr>
        <w:tc>
          <w:tcPr>
            <w:tcW w:w="403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электронной почтой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46%</w:t>
            </w:r>
          </w:p>
        </w:tc>
        <w:tc>
          <w:tcPr>
            <w:tcW w:w="93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14%</w:t>
            </w:r>
          </w:p>
        </w:tc>
      </w:tr>
      <w:tr w:rsidR="002547FB" w:rsidRPr="002547FB" w:rsidTr="00C07C7E">
        <w:trPr>
          <w:trHeight w:val="15"/>
          <w:tblCellSpacing w:w="0" w:type="dxa"/>
        </w:trPr>
        <w:tc>
          <w:tcPr>
            <w:tcW w:w="403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электронным журналом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64%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52%</w:t>
            </w:r>
          </w:p>
        </w:tc>
        <w:tc>
          <w:tcPr>
            <w:tcW w:w="930" w:type="dxa"/>
            <w:shd w:val="clear" w:color="auto" w:fill="FFFFFF"/>
            <w:vAlign w:val="bottom"/>
            <w:hideMark/>
          </w:tcPr>
          <w:p w:rsidR="002547FB" w:rsidRPr="002547FB" w:rsidRDefault="002547FB" w:rsidP="002547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8%</w:t>
            </w:r>
          </w:p>
        </w:tc>
      </w:tr>
    </w:tbl>
    <w:p w:rsidR="002547FB" w:rsidRPr="002547FB" w:rsidRDefault="002547FB" w:rsidP="0025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результатам табл.1. можно сделать следующие выводы: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Наиболее успешно осуществляются педагогами: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47FB" w:rsidRPr="002547FB" w:rsidRDefault="002547FB" w:rsidP="002547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мультимедийным проектором; </w:t>
      </w:r>
    </w:p>
    <w:p w:rsidR="002547FB" w:rsidRPr="002547FB" w:rsidRDefault="002547FB" w:rsidP="002547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учебных презентаций; </w:t>
      </w:r>
    </w:p>
    <w:p w:rsidR="002547FB" w:rsidRPr="002547FB" w:rsidRDefault="002547FB" w:rsidP="002547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 с электронным журналом;</w:t>
      </w:r>
    </w:p>
    <w:p w:rsidR="002547FB" w:rsidRPr="002547FB" w:rsidRDefault="002547FB" w:rsidP="002547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интернете </w:t>
      </w:r>
    </w:p>
    <w:p w:rsidR="002547FB" w:rsidRPr="002547FB" w:rsidRDefault="002547FB" w:rsidP="002547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с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документ-камерой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547FB" w:rsidRPr="002547FB" w:rsidRDefault="002547FB" w:rsidP="0025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Могут поделиться опытом по созданию учебных презентации для уроков наибольшее количество учителей.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педагоги в той или иной степени уверены, что смогут самостоятельно разобраться в работе нового оборудования.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Необходима помощь в освоении следующей техники: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47FB" w:rsidRPr="002547FB" w:rsidRDefault="002547FB" w:rsidP="00254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интерактивная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оборудование; </w:t>
      </w:r>
    </w:p>
    <w:p w:rsidR="002547FB" w:rsidRPr="002547FB" w:rsidRDefault="002547FB" w:rsidP="00254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обновление сайта;</w:t>
      </w:r>
    </w:p>
    <w:p w:rsidR="002547FB" w:rsidRPr="002547FB" w:rsidRDefault="002547FB" w:rsidP="0025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  течение учебного года оказывалась практическая помощь учителям по использованию  технических и информационных средств в учебно-воспитательной, творческой и  самообразовательной работе.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Использование общесистемных и прикладных программных средств, а также обучение работе с ними педагогических и административных кадров – важная и необходимая часть процесса информатизации школы. Внутри школы систематически проводятся обучающие занятия для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обучения желающих по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возникшим вопросам, например: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47FB" w:rsidRPr="002547FB" w:rsidRDefault="002547FB" w:rsidP="002547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обучение работе по составлению индивидуальных маршрутов учеников в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Excel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547FB" w:rsidRPr="002547FB" w:rsidRDefault="002547FB" w:rsidP="002547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в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Excel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аналитическим материалом контрольных срезов (с построением диаграмм) для руководителей ШМО;</w:t>
      </w:r>
    </w:p>
    <w:p w:rsidR="002547FB" w:rsidRPr="002547FB" w:rsidRDefault="002547FB" w:rsidP="002547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работе с новым оборудованием;</w:t>
      </w:r>
    </w:p>
    <w:p w:rsidR="002547FB" w:rsidRPr="002547FB" w:rsidRDefault="002547FB" w:rsidP="002547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в использование электронного журнала учителя и классного руководителя;</w:t>
      </w:r>
    </w:p>
    <w:p w:rsidR="002547FB" w:rsidRPr="002547FB" w:rsidRDefault="002547FB" w:rsidP="002547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обучение в работе с электронной почтой и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web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-сайтами.</w:t>
      </w:r>
    </w:p>
    <w:p w:rsidR="002547FB" w:rsidRPr="002547FB" w:rsidRDefault="002547FB" w:rsidP="002547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т.д. </w:t>
      </w:r>
    </w:p>
    <w:p w:rsidR="002547FB" w:rsidRPr="002547FB" w:rsidRDefault="002547FB" w:rsidP="0025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Педагоги в течения учебного года проходили курсы повышения квалификации 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школы, так курсы по различным направлениям прошли следующие педагоги: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Большинство учителей принимали активное участие в конкурсах профессионального мастерства, где активно применяют средства икт: в 2012-2013 6 педагогических работников приняли участие в конкурсах и мероприятиях профессионального мастерства различного уровня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читель математики и 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Соломатина Э.Р.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учитель 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английского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языка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Захарова Е.С.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приняли участие во Всероссийском форуме учителей. </w:t>
      </w:r>
      <w:proofErr w:type="spellStart"/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Исавнина</w:t>
      </w:r>
      <w:proofErr w:type="spellEnd"/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учитель начальных классов, стала победителем районного конкурса педагогов дополнительного образования и классных руководителей «Сердце отдаю детям». 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Продолжается работа по </w:t>
      </w:r>
      <w:r w:rsidRPr="002547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обобщению и распространению передового педагогического опыта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 копилку ППО школы добавилась работа учителя начальных классов </w:t>
      </w:r>
      <w:proofErr w:type="spellStart"/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Барминой</w:t>
      </w:r>
      <w:proofErr w:type="spellEnd"/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К.П.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в копилку 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ИМЦ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 добавились работы учителя математики 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Соломатиной Э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учителя английского языка 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Захаровой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С. 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  настоящее время в  школе 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93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%  учителей  активно используют икт средства на уроках и во внеурочной деятельности. Учителя используют</w:t>
      </w:r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C07C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едиаресурсы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 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цоры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порталы.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Частота использования ИКТ ресурсов обоснована  целесообразностью их применения  в  учебном процессе, при прохождении   конкретных  тем в урочной и  внеурочной деятельности в соответствии с нормами САН ПИН.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Проанализировав ситуацию, которая сложилась на данном этапе, было принято решение продолжать в следующем учебном году, обучение учителей компьютерной грамотности, а также в качестве одной из форм повышение квалификации выбрать дистанционную форму обучение.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47FB" w:rsidRPr="002547FB" w:rsidRDefault="002547FB" w:rsidP="00C07C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Развитие и совершенствование материальной  базы. Оснащение школы средствами ИКТ, компьютерной техникой.</w:t>
      </w:r>
    </w:p>
    <w:p w:rsidR="002547FB" w:rsidRPr="002547FB" w:rsidRDefault="002547FB" w:rsidP="0025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данном этапе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Таблица 2. </w:t>
      </w:r>
    </w:p>
    <w:tbl>
      <w:tblPr>
        <w:tblW w:w="93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518"/>
        <w:gridCol w:w="3278"/>
      </w:tblGrid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компьютеров и    ноутбуков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C0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компьютеров,    используемых в обучении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C0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мультимедийных    проекторов с экраном 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C0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547FB" w:rsidRPr="002547FB" w:rsidTr="00C07C7E">
        <w:trPr>
          <w:trHeight w:val="360"/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интерактивных приставок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C0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547FB" w:rsidRPr="002547FB" w:rsidTr="00C07C7E">
        <w:trPr>
          <w:trHeight w:val="360"/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интерактивных комплексов (</w:t>
            </w:r>
            <w:proofErr w:type="spellStart"/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компьютер+интерактивная</w:t>
            </w:r>
            <w:proofErr w:type="spellEnd"/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доска+мультимедиапроектор</w:t>
            </w:r>
            <w:proofErr w:type="spellEnd"/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C0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веб-камер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документ-камер</w:t>
            </w:r>
            <w:proofErr w:type="gramEnd"/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цифровых видеокамер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цифровых фотоаппаратов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принтеров </w:t>
            </w:r>
            <w:proofErr w:type="gramStart"/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принтеров цветных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МФУ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сканеров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плазменных панелей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кабинетов,    где есть ПК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C0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локальной сети (ЛВС) в    ОУ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проводная и беспроводная сеть</w:t>
            </w:r>
          </w:p>
        </w:tc>
      </w:tr>
      <w:tr w:rsidR="002547FB" w:rsidRPr="002547FB" w:rsidTr="00C07C7E">
        <w:trPr>
          <w:tblCellSpacing w:w="7" w:type="dxa"/>
        </w:trPr>
        <w:tc>
          <w:tcPr>
            <w:tcW w:w="573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04" w:type="dxa"/>
            <w:shd w:val="clear" w:color="auto" w:fill="FFFFFF"/>
            <w:hideMark/>
          </w:tcPr>
          <w:p w:rsidR="002547FB" w:rsidRPr="002547FB" w:rsidRDefault="002547FB" w:rsidP="0025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компьютеров,    подключенных к сети Интернет</w:t>
            </w:r>
          </w:p>
        </w:tc>
        <w:tc>
          <w:tcPr>
            <w:tcW w:w="3257" w:type="dxa"/>
            <w:shd w:val="clear" w:color="auto" w:fill="FFFFFF"/>
            <w:hideMark/>
          </w:tcPr>
          <w:p w:rsidR="002547FB" w:rsidRPr="002547FB" w:rsidRDefault="002547FB" w:rsidP="00C0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</w:tr>
    </w:tbl>
    <w:p w:rsidR="002547FB" w:rsidRPr="002547FB" w:rsidRDefault="002547FB" w:rsidP="00C07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Компьютерными рабочими местами  оснащена администрация школы  (7  компьютера, которые  имеют выход в  Интернет).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последний год оснащение школы средствами информатизации остаётся стабильно высоким. Материальная база школы состоит из компьютерной техники, сопутствующими компонентами для обеспечения новых требований к условиям и результатам обучения.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Проанализировав общею ситуацию по оснащению школы средствами ИКТ табл. 2., администрация школы пришла к выводу, что необходимо увеличивать общею базу средств информатизации, для достижения более высоких результатов. Связи с этим за период 2012-2013 года были сделаны следующие приобретения: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Кабинеты истории, физики, три кабинета иностранных языков, четыре кабинета начальных классов, кабинет информатики, кабинет математики, кабинет основ безопасности жизни деятельности, кабинет обществознания и географии были оснащены проекторами, ноутбуками и стационарными магнитно-макетными досками. Все кабинеты начальных классов за данный период были оснащены 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интерактивным оборудованием: в трёх кабинетов установлены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Mimo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приставки и в одном кабинете интерактивная доска. Также во все кабинеты начальных классов, кабинет иностранных языков, истории, два кабинета математики были установлены документ камерами.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декабре 2012 года школой получен программно-аппаратный комплекс педагога с министерства, включающий в себя: моноблок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Acer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специализированным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ПО, интерактивную доску, проектор, визуализатор цифровой, принтер 4 в 1, акустические колонки и гарнитура.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начале 2013 года был получен новый кабинет физики с современном цифровым оборудованием для проведения опытов.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Также были закуплены, современны ноутбуки для замдиректора по УВР и ВР.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библиотеке установлены два компьютера со свободным доступом для учеников.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конце 2012-2013 года был увеличен кабинет информатики, за счет сжатия электронной учительской, т.к. на сегодняшний момент у каждого учителя свой компьютер, отпала надобность в большом кабинете для учителей. В обновленном кабинете информатики увеличилось число посадочном мест для учеников, а также закуплено 11 современных системных блоков, которые пришли на смену устаревшим.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Оборудован актовый зал проектором, экраном и музыкальным оборудование, школа закупила новый микшерские пульт и беспроводные микрофоны.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Как видно из приведённого выше, техническая оснащённость школы находится на достаточном, для данного этапа развития школы,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уровне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 следующем учебном году планируется продолжить работу по оснащению техническими средствами информатизации школы, а также к началу нового учебного года закончить реконструкцию кабинета информатики и оснастить его новой специальной мебелью.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Установка и отладка  работы локальной сети</w:t>
      </w:r>
    </w:p>
    <w:p w:rsidR="002547FB" w:rsidRPr="002547FB" w:rsidRDefault="002547FB" w:rsidP="0025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Локальная сеть, организованная в школе объединяет все компьютеры и ноутбуки, но т.к. количество компьютеров увеличатся то необходимо вести работу по расширению локальной сети, так в данном периоде к локальной сети были подключены, кабинет математики, ОБЖ, кабинеты иностранных языков, физики, географии, обществознания, истории, а также проведена локальная сеть к новым компьютерам в библиотеке.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итоги по завершению данного этапа информатизации все компьютеры объедены в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общею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локальную сеть за счет проводной и беспроводной связи, увеличено число беспроводных точек доступа, что позволяет осуществлять выход в локальную и глобальную сеть, на большем пространстве.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Все компьютеры,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объедённые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локальную сеть, имеют доступ к общему виртуальному пространству, а также доступ в глобальную сеть. В декабре 2012 года была увеличена скорость доступа в интернет, за счет этого образовательные ресурсы стали более доступны.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бедующий год планируется продолжать работу по установки и отладки локальной, а также в обучение педагогов в использования общих ресурсов.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47FB" w:rsidRPr="002547FB" w:rsidRDefault="002547FB" w:rsidP="00C07C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Модернизация сайта </w:t>
      </w:r>
    </w:p>
    <w:p w:rsidR="002547FB" w:rsidRPr="002547FB" w:rsidRDefault="002547FB" w:rsidP="00635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современном этапе функционирование и успешность развития школы не возможно без единого информационное пространство, центром которого  является школьный сайт.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нашей школе с 200</w:t>
      </w:r>
      <w:r w:rsidR="00C07C7E" w:rsidRPr="00635B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 функционирует сайт </w:t>
      </w:r>
      <w:hyperlink r:id="rId6" w:history="1">
        <w:r w:rsidR="00C07C7E" w:rsidRPr="00642135">
          <w:rPr>
            <w:rStyle w:val="a3"/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http://</w:t>
        </w:r>
        <w:r w:rsidR="00C07C7E" w:rsidRPr="00642135">
          <w:rPr>
            <w:rStyle w:val="a3"/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val="en-US" w:eastAsia="ru-RU"/>
          </w:rPr>
          <w:t>school</w:t>
        </w:r>
        <w:r w:rsidR="00C07C7E" w:rsidRPr="00642135">
          <w:rPr>
            <w:rStyle w:val="a3"/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4_</w:t>
        </w:r>
        <w:proofErr w:type="spellStart"/>
        <w:r w:rsidR="00C07C7E" w:rsidRPr="00642135">
          <w:rPr>
            <w:rStyle w:val="a3"/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val="en-US" w:eastAsia="ru-RU"/>
          </w:rPr>
          <w:t>vanino</w:t>
        </w:r>
        <w:proofErr w:type="spellEnd"/>
        <w:r w:rsidR="00C07C7E" w:rsidRPr="00642135">
          <w:rPr>
            <w:rStyle w:val="a3"/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.</w:t>
        </w:r>
        <w:proofErr w:type="spellStart"/>
        <w:r w:rsidR="00C07C7E" w:rsidRPr="00642135">
          <w:rPr>
            <w:rStyle w:val="a3"/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val="en-US" w:eastAsia="ru-RU"/>
          </w:rPr>
          <w:t>narod</w:t>
        </w:r>
        <w:proofErr w:type="spellEnd"/>
        <w:r w:rsidR="00C07C7E" w:rsidRPr="00642135">
          <w:rPr>
            <w:rStyle w:val="a3"/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.</w:t>
        </w:r>
        <w:proofErr w:type="spellStart"/>
        <w:r w:rsidR="00C07C7E" w:rsidRPr="00642135">
          <w:rPr>
            <w:rStyle w:val="a3"/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val="en-US" w:eastAsia="ru-RU"/>
          </w:rPr>
          <w:t>ru</w:t>
        </w:r>
        <w:proofErr w:type="spellEnd"/>
      </w:hyperlink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на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котором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содержится учебный и методический материал по различным предметным  областям.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данном периоде информатизации структура сайта была изменена, на сайте увеличилось количество информации о школе, которая соответствует требованиям Постановление Правительства Российской Федерации от 18 апреля 2012 г. N 343 "Об утверждении Правил размещения в сети Интернет и обновления информации об образовательном учреждении" в соответствии со статьей 32 п.4 Закона Российской Федерации "Об образовании", а также увеличилось число разделов, появилась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карта, что упрощает ориентирование по страницам сайта, изменены страницы психолога школы, продолжается освещение основных событий жизни школы.                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Родители, заходя на сайт  школы,  могут увидеть  успехи своих детей, фото и видео галерею школьных  праздников, получить необходимую информацию о   службах школы. Учителя, проходящие аттестацию, выкладывают свой материал на сайте школы, а также на личных сайтах. 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Использование системы электронный дневник (журнал)</w:t>
      </w:r>
    </w:p>
    <w:p w:rsidR="002547FB" w:rsidRPr="002547FB" w:rsidRDefault="002547FB" w:rsidP="0025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конце 2012году в нашей школе был введен электронный журнал учителя фирмы "3Т: </w:t>
      </w:r>
      <w:proofErr w:type="spellStart"/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ХроноГраф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журнал", в качестве эксперимента, журнал был предложен группе учителей, которые сделали вывод от том, что журнал полностью удовлетворяет требования современной школы, прост в обращение и имеет возможность вести электронный аналог классного журнала, с возможностями занесения дат и тем проводимых уроков, домашних заданий, фиксировать отсутствие учащихся на уроке, выставлять текущие и итоговые оценки учащимся в принятой для общеобразовательного учреждения шкале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с возможностью указания основания постановки оценки, вести Записную книжку (блокнот) преподавателя, содержащую временно выставленные оценки, комментарии анализировать текущую 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успеваемость, посещаемость учащихся и принимать обоснованные решения, организовать учет выполнения тематического и поурочного планирования. А также родителям: контролировать успеваемость и посещаемость детей в электронном аналоге ученического дневника, при этом родители имеют возможность оценить не только текущую и итоговую успеваемость своего ребенка, но и успеваемость по различным предметам относительно других учащихся того же класса.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этом учебном году "3Т: 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ХроноГраф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журнал" был принят как основной инструмент, введения электронного аналога классного журнала и ученических дневников. Родителем были розданы пароли ид. Учеников, с помощью которых они могут проследить за успеваемостью своих детей.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Результат использования ЭД в 2012-2013 был положительный, было принято решение в дальнейшем продолжать использование электронную форму введения контроля журнала и дневника учащегося.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47FB" w:rsidRPr="002547FB" w:rsidRDefault="002547FB" w:rsidP="00635B0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Дистанционное  обучение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547FB" w:rsidRPr="002547FB" w:rsidRDefault="002547FB" w:rsidP="00635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Организация системы дистанционного  обучения в 2011-2012 учебном году осуществлялось в направлении использования  технологий открытого образования в: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участии учащихся в образовательных  дистанционных олимпиадах, конкурсах;</w:t>
      </w:r>
    </w:p>
    <w:p w:rsidR="002547FB" w:rsidRPr="002547FB" w:rsidRDefault="002547FB" w:rsidP="002547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страницах учителей размещаются домашние задания и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проеденный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учеников;</w:t>
      </w:r>
    </w:p>
    <w:p w:rsidR="002547FB" w:rsidRPr="002547FB" w:rsidRDefault="002547FB" w:rsidP="002547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учителя возможности променяют программу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Skype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которые отсутствуют по причине болезни.  </w:t>
      </w:r>
    </w:p>
    <w:p w:rsidR="002547FB" w:rsidRPr="002547FB" w:rsidRDefault="002547FB" w:rsidP="00635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Будущим году планируется продолжать развивать использования Дистанционное  обучение, по возможности, т.е.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наличие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связи, использовать в обучение детей инвалидов.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направлению </w:t>
      </w:r>
      <w:r w:rsidRPr="00254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Внедрение Пакета свободного программного обеспечения (ПСПО)</w:t>
      </w:r>
    </w:p>
    <w:p w:rsidR="002547FB" w:rsidRPr="002547FB" w:rsidRDefault="002547FB" w:rsidP="0025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октябре 2007 года вышло Распоряжение Председателя Правительства РФ № 1447-р., согласно которому Министерству образования и науки и Министерству связи предписывалось: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47FB" w:rsidRPr="002547FB" w:rsidRDefault="002547FB" w:rsidP="002547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Закупить лицензию на 3 года на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проприетарное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программное обеспечение для всех школ;</w:t>
      </w:r>
    </w:p>
    <w:p w:rsidR="002547FB" w:rsidRPr="002547FB" w:rsidRDefault="002547FB" w:rsidP="002547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разработку и внедрение в школы свободного программного обеспечения по перечню программ, входящих в стандартный (базовый) пакет программного обеспечения</w:t>
      </w:r>
    </w:p>
    <w:p w:rsidR="002547FB" w:rsidRPr="002547FB" w:rsidRDefault="002547FB" w:rsidP="00635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Закупка трехлетних лицензий на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проприетарное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осуществлена для того, чтобы снять накал проблем, связанных с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пиратским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ПО, и за это время подготовить систему образования к переходу на свободное программное обеспечение.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Группой компаний «РБК-ЦЕНТР» – Армада был разработан Пакет свободного программного обеспечения (ПСПО) для нужд ОУ, не требующий лицензионных отчислений. В основу ПСПО легли две независимые ветки дистрибутивов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Linux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Эти решения были протестированы в нескольких регионах (Республика Татарстан, Пермский край и Томская область), потом частично доработаны. В рамках образовательной поддержки процесса внедрения ПСПО компания НОУДПО «Институт «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АйТи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(зарегистрированная торговая марка – Академия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АйТи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провела обучение с применением дистанционных технологий сотрудников образовательных учреждений в пилотных регионах, в частности на базе ММЦ были организованы дистанционные курсы повышения квалификации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ответственных за информатизацию в школах. Основной целью проекта «Обеспечение поддержки внедрения ПСПО в общеобразовательных учреждениях Российской Федерации» является создание условий для массового внедрения специально разработанного и прошедшего апробацию Пакета свободного программного обеспечения (ПСПО) в общеобразовательных учреждениях Российской Федерации.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2011-2012 учебном году на школьные компьютеры была установлена ОС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Linux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для обучения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работе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которой, были проведены занятия с педагогическим коллективом и переработаны в более краткую форму Инструкции по использованию прикладных программ этой операционной системы (на основе книги «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Линукс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учителя»).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данном этапе информатизация школа продолжает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обширное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использования ОС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Linux</w:t>
      </w:r>
      <w:proofErr w:type="spellEnd"/>
      <w:r w:rsidRPr="002547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 а уроках информатики и информационных технологиях в качестве основной ОС сделан выбор в сторону ОС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Linux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5.0.2, которая содержит весь необходимый набор программ,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обучение и работе на компьютере.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47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Итоги и выводы </w:t>
      </w:r>
    </w:p>
    <w:p w:rsidR="002547FB" w:rsidRPr="002547FB" w:rsidRDefault="002547FB" w:rsidP="002547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 продолжается работа по сбору и заполнению базы  данных учащихся, учителей и сотрудников школы, которая осуществляется в ПО 1С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:П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редприятие 7.7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ХроноГраф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ШКОЛА2.5 ПРОФ.    </w:t>
      </w:r>
    </w:p>
    <w:p w:rsidR="002547FB" w:rsidRPr="002547FB" w:rsidRDefault="002547FB" w:rsidP="002547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школы обучаются на курсах повышения  квалификации.    </w:t>
      </w:r>
    </w:p>
    <w:p w:rsidR="002547FB" w:rsidRPr="002547FB" w:rsidRDefault="002547FB" w:rsidP="002547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Изменилось качество и количество использования ИКТ технологий в  учебное и внеурочное время, а также при проведении школьных мероприятий.     </w:t>
      </w:r>
    </w:p>
    <w:p w:rsidR="002547FB" w:rsidRPr="002547FB" w:rsidRDefault="002547FB" w:rsidP="002547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Увеличилось  количество сотрудников, использующих компьютерную технику и Интернет в  профессиональной деятельности</w:t>
      </w:r>
    </w:p>
    <w:p w:rsidR="002547FB" w:rsidRPr="002547FB" w:rsidRDefault="002547FB" w:rsidP="002547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 2012 – 2013 уч. г. в каждом учебном классе установлены ПК или ноутбуки, а также проделана большая работа по обеспечению ИКТ учителей.     </w:t>
      </w:r>
    </w:p>
    <w:p w:rsidR="002547FB" w:rsidRPr="002547FB" w:rsidRDefault="002547FB" w:rsidP="002547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всех кабинетах есть точка доступа к сети  Интернет. </w:t>
      </w:r>
    </w:p>
    <w:p w:rsidR="002547FB" w:rsidRPr="002547FB" w:rsidRDefault="002547FB" w:rsidP="002547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Ведется работа по обновлению  Школьного сайта.    </w:t>
      </w:r>
    </w:p>
    <w:p w:rsidR="002547FB" w:rsidRPr="002547FB" w:rsidRDefault="002547FB" w:rsidP="002547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Постепенно  происходит  увеличение времени, которое  проводят за компьютером учащиеся в образовательных целях, за счет организации  исследовательской и проектной деятельности.    </w:t>
      </w:r>
    </w:p>
    <w:p w:rsidR="002547FB" w:rsidRPr="002547FB" w:rsidRDefault="002547FB" w:rsidP="0025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целом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работу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проделанную на данном этапе можно считать выполненной, администрация школы достигла все поставленные цели которые были поставлены на данном этапе. Однако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существуют следующие проблемы,  которые необходимо решить на следующем этапе информатизации:     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47FB" w:rsidRPr="002547FB" w:rsidRDefault="002547FB" w:rsidP="002547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активное  использование возможностей сетевого общения, участие в различных сетевых  мероприятиях, дистанционных конкурсах, викторинах, олимпиадах.     </w:t>
      </w:r>
    </w:p>
    <w:p w:rsidR="002547FB" w:rsidRPr="002547FB" w:rsidRDefault="002547FB" w:rsidP="002547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  проектной деятельности с активным участием учащихся в создании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проектно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исследовательских  работ.     </w:t>
      </w:r>
    </w:p>
    <w:p w:rsidR="002547FB" w:rsidRPr="002547FB" w:rsidRDefault="002547FB" w:rsidP="002547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  до конца установлена локальная сеть, которая позволит объединить все компьютеры, что  даст возможность более широко  использовать  компьютеры на различных этапах урока, и положит   начало созданию в сети папок общего пользования.    </w:t>
      </w:r>
    </w:p>
    <w:p w:rsidR="002547FB" w:rsidRPr="002547FB" w:rsidRDefault="002547FB" w:rsidP="002547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Несмотря  на то, что более 82% педагогов прошли обучение </w:t>
      </w:r>
      <w:proofErr w:type="gram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ИКТ-компетентности</w:t>
      </w:r>
      <w:proofErr w:type="gram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видна слабая  общая компьютерная подготовка и личная незаинтересованность ряда педагогов. Для  решения данной проблемы необходимо создание в школе мотивационных условий  стимулирующего характера.    </w:t>
      </w:r>
    </w:p>
    <w:p w:rsidR="002547FB" w:rsidRPr="002547FB" w:rsidRDefault="002547FB" w:rsidP="002547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Недостаточное  обеспечение образовательного учреждения современными электронными учебными  пособиями порождает нежелание среди заинтересованных педагогов применять ЦОР в  образовательном процессе. Следовательно, необходимо регулярное </w:t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0"/>
      </w:r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приобретение  </w:t>
      </w:r>
      <w:proofErr w:type="spellStart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ЦОРов</w:t>
      </w:r>
      <w:proofErr w:type="spellEnd"/>
      <w:r w:rsidRPr="00254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работы.    </w:t>
      </w:r>
    </w:p>
    <w:p w:rsidR="001B1977" w:rsidRDefault="002547FB" w:rsidP="002547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 w:rsidRPr="00635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развита система участия  педагогов  в дистанционных семинарах,  конференциях, педсоветах.  </w:t>
      </w:r>
      <w:r w:rsidR="00635B0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bookmarkStart w:id="0" w:name="_GoBack"/>
      <w:bookmarkEnd w:id="0"/>
      <w:r w:rsidRPr="00635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5B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Выше обозначенные проблемы будут решать на втором этапе информатизации, кроме того основными направление второго этапа являются:   </w:t>
      </w:r>
      <w:r w:rsidRPr="00635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5B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Создание ЕИС школы, которая включает материально-технические, информационные и кадровые ресурсы, обеспечивает автоматизацию управленческих и педагогических процессов, согласованную обработку и использование информации, полноценный информационный обмен, а также требует нормативно-организационной базы, технического и методического сопровождения. </w:t>
      </w:r>
    </w:p>
    <w:sectPr w:rsidR="001B1977" w:rsidSect="00635B0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58B"/>
    <w:multiLevelType w:val="multilevel"/>
    <w:tmpl w:val="9B16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D221E"/>
    <w:multiLevelType w:val="multilevel"/>
    <w:tmpl w:val="252C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579DD"/>
    <w:multiLevelType w:val="multilevel"/>
    <w:tmpl w:val="A83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B5EEE"/>
    <w:multiLevelType w:val="multilevel"/>
    <w:tmpl w:val="3384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D1CF4"/>
    <w:multiLevelType w:val="multilevel"/>
    <w:tmpl w:val="FE7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C65F7"/>
    <w:multiLevelType w:val="multilevel"/>
    <w:tmpl w:val="292E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A6CAA"/>
    <w:multiLevelType w:val="hybridMultilevel"/>
    <w:tmpl w:val="F61AD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277FF"/>
    <w:multiLevelType w:val="multilevel"/>
    <w:tmpl w:val="919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01473"/>
    <w:multiLevelType w:val="multilevel"/>
    <w:tmpl w:val="470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26F59"/>
    <w:multiLevelType w:val="multilevel"/>
    <w:tmpl w:val="159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95E0D"/>
    <w:multiLevelType w:val="multilevel"/>
    <w:tmpl w:val="E220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126A6"/>
    <w:multiLevelType w:val="multilevel"/>
    <w:tmpl w:val="CB28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E0896"/>
    <w:multiLevelType w:val="multilevel"/>
    <w:tmpl w:val="33DA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5B0959"/>
    <w:multiLevelType w:val="multilevel"/>
    <w:tmpl w:val="AFB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9832DE"/>
    <w:multiLevelType w:val="multilevel"/>
    <w:tmpl w:val="68CC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D34ED8"/>
    <w:multiLevelType w:val="multilevel"/>
    <w:tmpl w:val="FABC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66BA0"/>
    <w:multiLevelType w:val="multilevel"/>
    <w:tmpl w:val="5908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5"/>
  </w:num>
  <w:num w:numId="5">
    <w:abstractNumId w:val="14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16"/>
  </w:num>
  <w:num w:numId="11">
    <w:abstractNumId w:val="11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FB"/>
    <w:rsid w:val="001B1977"/>
    <w:rsid w:val="002547FB"/>
    <w:rsid w:val="00635B01"/>
    <w:rsid w:val="00C0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7FB"/>
  </w:style>
  <w:style w:type="character" w:customStyle="1" w:styleId="butback">
    <w:name w:val="butback"/>
    <w:basedOn w:val="a0"/>
    <w:rsid w:val="002547FB"/>
  </w:style>
  <w:style w:type="character" w:customStyle="1" w:styleId="submenu-table">
    <w:name w:val="submenu-table"/>
    <w:basedOn w:val="a0"/>
    <w:rsid w:val="002547FB"/>
  </w:style>
  <w:style w:type="character" w:styleId="a3">
    <w:name w:val="Hyperlink"/>
    <w:basedOn w:val="a0"/>
    <w:uiPriority w:val="99"/>
    <w:unhideWhenUsed/>
    <w:rsid w:val="002547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7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7FB"/>
  </w:style>
  <w:style w:type="character" w:customStyle="1" w:styleId="butback">
    <w:name w:val="butback"/>
    <w:basedOn w:val="a0"/>
    <w:rsid w:val="002547FB"/>
  </w:style>
  <w:style w:type="character" w:customStyle="1" w:styleId="submenu-table">
    <w:name w:val="submenu-table"/>
    <w:basedOn w:val="a0"/>
    <w:rsid w:val="002547FB"/>
  </w:style>
  <w:style w:type="character" w:styleId="a3">
    <w:name w:val="Hyperlink"/>
    <w:basedOn w:val="a0"/>
    <w:uiPriority w:val="99"/>
    <w:unhideWhenUsed/>
    <w:rsid w:val="002547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4_vanino.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Петрович</dc:creator>
  <cp:lastModifiedBy>admin</cp:lastModifiedBy>
  <cp:revision>2</cp:revision>
  <dcterms:created xsi:type="dcterms:W3CDTF">2015-11-15T08:27:00Z</dcterms:created>
  <dcterms:modified xsi:type="dcterms:W3CDTF">2015-11-15T08:27:00Z</dcterms:modified>
</cp:coreProperties>
</file>